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5202" w14:textId="77777777" w:rsidR="00A17CB0" w:rsidRDefault="00A17CB0" w:rsidP="00A17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СХВАЛЕНО </w:t>
      </w:r>
    </w:p>
    <w:p w14:paraId="1F7EB992" w14:textId="77777777" w:rsidR="00A17CB0" w:rsidRDefault="00A17CB0" w:rsidP="00A17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АПУ </w:t>
      </w:r>
    </w:p>
    <w:p w14:paraId="5BA1DB45" w14:textId="6DF0D5A5" w:rsidR="00A17CB0" w:rsidRDefault="00A17CB0" w:rsidP="00A17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261363" w14:textId="77777777" w:rsidR="00A17CB0" w:rsidRDefault="00A17CB0" w:rsidP="00617EE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CF16F4E" w14:textId="707E2A34" w:rsidR="004A5821" w:rsidRPr="00545069" w:rsidRDefault="004A5821" w:rsidP="00617EE2">
      <w:pPr>
        <w:pStyle w:val="docdata"/>
        <w:spacing w:before="0" w:beforeAutospacing="0" w:after="0" w:afterAutospacing="0"/>
        <w:jc w:val="center"/>
        <w:rPr>
          <w:b/>
          <w:bCs/>
          <w:lang w:val="uk-UA"/>
        </w:rPr>
      </w:pPr>
      <w:r w:rsidRPr="00545069">
        <w:rPr>
          <w:b/>
          <w:bCs/>
          <w:color w:val="000000"/>
          <w:sz w:val="28"/>
          <w:szCs w:val="28"/>
          <w:lang w:val="uk-UA"/>
        </w:rPr>
        <w:t>ІНФОРМАЦІЙНЕ ПОВІДОМЛЕННЯ</w:t>
      </w:r>
    </w:p>
    <w:p w14:paraId="4547C439" w14:textId="4C4BE610" w:rsidR="004A5821" w:rsidRPr="00545069" w:rsidRDefault="004A5821" w:rsidP="00617EE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545069">
        <w:rPr>
          <w:b/>
          <w:bCs/>
          <w:color w:val="000000"/>
          <w:sz w:val="28"/>
          <w:szCs w:val="28"/>
          <w:lang w:val="uk-UA"/>
        </w:rPr>
        <w:t xml:space="preserve">щодо сплати внесків </w:t>
      </w:r>
      <w:r w:rsidR="00B57DD7" w:rsidRPr="00B57DD7">
        <w:rPr>
          <w:b/>
          <w:bCs/>
          <w:color w:val="000000"/>
          <w:sz w:val="28"/>
          <w:szCs w:val="28"/>
          <w:lang w:val="uk-UA"/>
        </w:rPr>
        <w:t xml:space="preserve">на 2022 рік </w:t>
      </w:r>
    </w:p>
    <w:p w14:paraId="6D3FA415" w14:textId="77777777" w:rsidR="004A5821" w:rsidRPr="00545069" w:rsidRDefault="004A5821" w:rsidP="00617EE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545069">
        <w:rPr>
          <w:b/>
          <w:bCs/>
          <w:color w:val="000000"/>
          <w:sz w:val="28"/>
          <w:szCs w:val="28"/>
          <w:lang w:val="uk-UA"/>
        </w:rPr>
        <w:t>членами Аудиторської палати України</w:t>
      </w:r>
    </w:p>
    <w:p w14:paraId="3D86B09E" w14:textId="77777777" w:rsidR="004A5821" w:rsidRPr="00545069" w:rsidRDefault="004A5821" w:rsidP="004A5821">
      <w:pPr>
        <w:pStyle w:val="a3"/>
        <w:spacing w:before="0" w:beforeAutospacing="0" w:after="0" w:afterAutospacing="0"/>
        <w:ind w:firstLine="708"/>
        <w:rPr>
          <w:b/>
          <w:bCs/>
          <w:lang w:val="uk-UA"/>
        </w:rPr>
      </w:pPr>
      <w:r w:rsidRPr="00545069">
        <w:rPr>
          <w:b/>
          <w:bCs/>
          <w:lang w:val="uk-UA"/>
        </w:rPr>
        <w:t> </w:t>
      </w:r>
    </w:p>
    <w:p w14:paraId="733261F4" w14:textId="77777777" w:rsidR="00694D7A" w:rsidRPr="00775D99" w:rsidRDefault="00694D7A" w:rsidP="00694D7A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 w:rsidRPr="00545069">
        <w:rPr>
          <w:b/>
          <w:bCs/>
          <w:color w:val="000000"/>
          <w:sz w:val="28"/>
          <w:szCs w:val="28"/>
          <w:lang w:val="uk-UA"/>
        </w:rPr>
        <w:t>Шановні аудитори та суб’єкти аудиторської діяльності</w:t>
      </w:r>
      <w:r w:rsidRPr="00775D99">
        <w:rPr>
          <w:color w:val="000000"/>
          <w:sz w:val="28"/>
          <w:szCs w:val="28"/>
          <w:lang w:val="uk-UA"/>
        </w:rPr>
        <w:t xml:space="preserve">! </w:t>
      </w:r>
    </w:p>
    <w:p w14:paraId="6EE4D58F" w14:textId="77777777" w:rsidR="00694D7A" w:rsidRPr="00775D99" w:rsidRDefault="00694D7A" w:rsidP="00694D7A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</w:p>
    <w:p w14:paraId="5BE1BBF8" w14:textId="488B629A" w:rsidR="00AE45E8" w:rsidRPr="00367C15" w:rsidRDefault="00AE45E8" w:rsidP="00AE45E8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367C15">
        <w:rPr>
          <w:color w:val="000000"/>
          <w:sz w:val="26"/>
          <w:szCs w:val="26"/>
          <w:lang w:val="uk-UA"/>
        </w:rPr>
        <w:t xml:space="preserve">Підтримка аудиторів та суб’єктів аудиторської діяльності в нелегких умовах воєнного стану в Україні наразі є основним напрямком діяльності </w:t>
      </w:r>
      <w:r w:rsidR="004620B4" w:rsidRPr="00367C15">
        <w:rPr>
          <w:color w:val="000000"/>
          <w:sz w:val="26"/>
          <w:szCs w:val="26"/>
          <w:lang w:val="uk-UA"/>
        </w:rPr>
        <w:t>Ради Аудиторської палати України</w:t>
      </w:r>
      <w:r w:rsidRPr="00367C15">
        <w:rPr>
          <w:color w:val="000000"/>
          <w:sz w:val="26"/>
          <w:szCs w:val="26"/>
          <w:lang w:val="uk-UA"/>
        </w:rPr>
        <w:t>.</w:t>
      </w:r>
    </w:p>
    <w:p w14:paraId="26529161" w14:textId="76BC9341" w:rsidR="00282B9F" w:rsidRPr="00367C15" w:rsidRDefault="00282B9F" w:rsidP="00AE45E8">
      <w:pPr>
        <w:pStyle w:val="docdata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u w:val="single"/>
          <w:lang w:val="uk-UA"/>
        </w:rPr>
      </w:pPr>
      <w:r w:rsidRPr="00367C15">
        <w:rPr>
          <w:b/>
          <w:bCs/>
          <w:color w:val="000000"/>
          <w:sz w:val="26"/>
          <w:szCs w:val="26"/>
          <w:u w:val="single"/>
          <w:lang w:val="uk-UA"/>
        </w:rPr>
        <w:t xml:space="preserve">Відносно  </w:t>
      </w:r>
      <w:r w:rsidR="00545069" w:rsidRPr="00367C15">
        <w:rPr>
          <w:b/>
          <w:bCs/>
          <w:color w:val="000000"/>
          <w:sz w:val="26"/>
          <w:szCs w:val="26"/>
          <w:u w:val="single"/>
          <w:lang w:val="uk-UA"/>
        </w:rPr>
        <w:t>внесків від виконання послуг з обов’язкового аудиту:</w:t>
      </w:r>
    </w:p>
    <w:p w14:paraId="1E42ED37" w14:textId="77777777" w:rsidR="00545069" w:rsidRPr="00367C15" w:rsidRDefault="00771922" w:rsidP="00AE45E8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67C15">
        <w:rPr>
          <w:sz w:val="26"/>
          <w:szCs w:val="26"/>
          <w:lang w:val="uk-UA"/>
        </w:rPr>
        <w:t xml:space="preserve">У зв’язку з військовою агресією Російської Федерації проти України та Указом Президента України від 24 лютого 2022 року № 64/2022 «Про введення воєнного стану в Україні», Радою </w:t>
      </w:r>
      <w:r w:rsidRPr="00367C15">
        <w:rPr>
          <w:color w:val="000000"/>
          <w:sz w:val="26"/>
          <w:szCs w:val="26"/>
          <w:lang w:val="uk-UA"/>
        </w:rPr>
        <w:t>Аудиторської палати України</w:t>
      </w:r>
      <w:r w:rsidRPr="00367C15">
        <w:rPr>
          <w:sz w:val="26"/>
          <w:szCs w:val="26"/>
          <w:lang w:val="uk-UA"/>
        </w:rPr>
        <w:t xml:space="preserve"> вирішено</w:t>
      </w:r>
      <w:r w:rsidR="00545069" w:rsidRPr="00367C15">
        <w:rPr>
          <w:sz w:val="26"/>
          <w:szCs w:val="26"/>
          <w:lang w:val="uk-UA"/>
        </w:rPr>
        <w:t>:</w:t>
      </w:r>
    </w:p>
    <w:p w14:paraId="7DF4FE05" w14:textId="5AC04C7B" w:rsidR="00771922" w:rsidRPr="00367C15" w:rsidRDefault="00771922" w:rsidP="00AE45E8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67C15">
        <w:rPr>
          <w:sz w:val="26"/>
          <w:szCs w:val="26"/>
          <w:lang w:val="uk-UA"/>
        </w:rPr>
        <w:t xml:space="preserve"> </w:t>
      </w:r>
      <w:r w:rsidR="00545069" w:rsidRPr="00367C15">
        <w:rPr>
          <w:sz w:val="26"/>
          <w:szCs w:val="26"/>
          <w:lang w:val="uk-UA"/>
        </w:rPr>
        <w:t>-</w:t>
      </w:r>
      <w:r w:rsidRPr="00367C15">
        <w:rPr>
          <w:b/>
          <w:bCs/>
          <w:i/>
          <w:iCs/>
          <w:sz w:val="26"/>
          <w:szCs w:val="26"/>
          <w:lang w:val="uk-UA"/>
        </w:rPr>
        <w:t>відтермінувати обов’язок сплати внесків</w:t>
      </w:r>
      <w:r w:rsidRPr="00367C15">
        <w:rPr>
          <w:sz w:val="26"/>
          <w:szCs w:val="26"/>
          <w:lang w:val="uk-UA"/>
        </w:rPr>
        <w:t>, які сплачуються на користь Аудиторської палати України суб’єктами аудиторської діяльності за кожним договором з надання аудиторських послуг з обов’язкового аудиту іншим юридичним особам, які не є підприємствами, що становлять суспільний інтерес, до скасування у встановленому порядку дії воєнного стану в Україні.</w:t>
      </w:r>
    </w:p>
    <w:p w14:paraId="3AC1F95B" w14:textId="192BC76B" w:rsidR="00DD2782" w:rsidRPr="00367C15" w:rsidRDefault="00545069" w:rsidP="00AE45E8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 w:eastAsia="pl-PL"/>
        </w:rPr>
      </w:pPr>
      <w:r w:rsidRPr="00367C15">
        <w:rPr>
          <w:sz w:val="26"/>
          <w:szCs w:val="26"/>
          <w:lang w:val="uk-UA"/>
        </w:rPr>
        <w:t xml:space="preserve">- 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>встанов</w:t>
      </w:r>
      <w:r w:rsidRPr="00367C15">
        <w:rPr>
          <w:b/>
          <w:bCs/>
          <w:i/>
          <w:iCs/>
          <w:sz w:val="26"/>
          <w:szCs w:val="26"/>
          <w:lang w:val="uk-UA"/>
        </w:rPr>
        <w:t>ити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, що </w:t>
      </w:r>
      <w:r w:rsidR="00DD2782" w:rsidRPr="00367C15">
        <w:rPr>
          <w:b/>
          <w:bCs/>
          <w:i/>
          <w:iCs/>
          <w:sz w:val="26"/>
          <w:szCs w:val="26"/>
          <w:lang w:val="uk-UA" w:eastAsia="pl-PL"/>
        </w:rPr>
        <w:t>у 2022 році розмір внеску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>, який сплачує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ться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суб’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>є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ктами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аудиторсько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ї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д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>і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яльност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і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на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користь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Аудиторської палати Украї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ни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від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 xml:space="preserve"> суми</w:t>
      </w:r>
      <w:r w:rsidR="00DD2782" w:rsidRPr="00367C15">
        <w:rPr>
          <w:b/>
          <w:bCs/>
          <w:i/>
          <w:iCs/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b/>
          <w:bCs/>
          <w:i/>
          <w:iCs/>
          <w:sz w:val="26"/>
          <w:szCs w:val="26"/>
          <w:lang w:val="uk-UA"/>
        </w:rPr>
        <w:t>винагороди</w:t>
      </w:r>
      <w:r w:rsidR="00DD2782" w:rsidRPr="00367C15">
        <w:rPr>
          <w:sz w:val="26"/>
          <w:szCs w:val="26"/>
          <w:lang w:val="uk-UA"/>
        </w:rPr>
        <w:t xml:space="preserve"> (</w:t>
      </w:r>
      <w:r w:rsidR="00DD2782" w:rsidRPr="00367C15">
        <w:rPr>
          <w:rFonts w:eastAsia="Malgun Gothic Semilight"/>
          <w:sz w:val="26"/>
          <w:szCs w:val="26"/>
          <w:lang w:val="uk-UA"/>
        </w:rPr>
        <w:t>без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урахува</w:t>
      </w:r>
      <w:r w:rsidR="00DD2782" w:rsidRPr="00367C15">
        <w:rPr>
          <w:sz w:val="26"/>
          <w:szCs w:val="26"/>
          <w:lang w:val="uk-UA"/>
        </w:rPr>
        <w:t>ння податку на додану варті</w:t>
      </w:r>
      <w:r w:rsidR="00DD2782" w:rsidRPr="00367C15">
        <w:rPr>
          <w:rFonts w:eastAsia="Malgun Gothic Semilight"/>
          <w:sz w:val="26"/>
          <w:szCs w:val="26"/>
          <w:lang w:val="uk-UA"/>
        </w:rPr>
        <w:t>сть</w:t>
      </w:r>
      <w:r w:rsidR="00DD2782" w:rsidRPr="00367C15">
        <w:rPr>
          <w:sz w:val="26"/>
          <w:szCs w:val="26"/>
          <w:lang w:val="uk-UA"/>
        </w:rPr>
        <w:t xml:space="preserve">) </w:t>
      </w:r>
      <w:r w:rsidR="00DD2782" w:rsidRPr="00367C15">
        <w:rPr>
          <w:rFonts w:eastAsia="Malgun Gothic Semilight"/>
          <w:sz w:val="26"/>
          <w:szCs w:val="26"/>
          <w:lang w:val="uk-UA"/>
        </w:rPr>
        <w:t>за</w:t>
      </w:r>
      <w:r w:rsidR="00DD2782" w:rsidRPr="00367C15">
        <w:rPr>
          <w:sz w:val="26"/>
          <w:szCs w:val="26"/>
          <w:lang w:val="uk-UA"/>
        </w:rPr>
        <w:t xml:space="preserve"> кожним </w:t>
      </w:r>
      <w:r w:rsidR="00DD2782" w:rsidRPr="00367C15">
        <w:rPr>
          <w:rFonts w:eastAsia="Malgun Gothic Semilight"/>
          <w:sz w:val="26"/>
          <w:szCs w:val="26"/>
          <w:lang w:val="uk-UA"/>
        </w:rPr>
        <w:t>договором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з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надання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аудиторських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послуг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з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>обов’язкового</w:t>
      </w:r>
      <w:r w:rsidR="00DD2782" w:rsidRPr="00367C15">
        <w:rPr>
          <w:sz w:val="26"/>
          <w:szCs w:val="26"/>
          <w:lang w:val="uk-UA"/>
        </w:rPr>
        <w:t xml:space="preserve"> </w:t>
      </w:r>
      <w:r w:rsidR="00DD2782" w:rsidRPr="00367C15">
        <w:rPr>
          <w:rFonts w:eastAsia="Malgun Gothic Semilight"/>
          <w:sz w:val="26"/>
          <w:szCs w:val="26"/>
          <w:lang w:val="uk-UA"/>
        </w:rPr>
        <w:t xml:space="preserve">аудиту </w:t>
      </w:r>
      <w:r w:rsidR="00DD2782" w:rsidRPr="00367C15">
        <w:rPr>
          <w:sz w:val="26"/>
          <w:szCs w:val="26"/>
          <w:lang w:val="uk-UA"/>
        </w:rPr>
        <w:t xml:space="preserve">підприємствам, які не є підприємствами, що становлять суспільний інтерес </w:t>
      </w:r>
      <w:r w:rsidR="00DD2782" w:rsidRPr="00367C15">
        <w:rPr>
          <w:b/>
          <w:bCs/>
          <w:i/>
          <w:iCs/>
          <w:sz w:val="26"/>
          <w:szCs w:val="26"/>
          <w:lang w:val="uk-UA" w:eastAsia="pl-PL"/>
        </w:rPr>
        <w:t>становить 0 (нуль) відсотків</w:t>
      </w:r>
      <w:r w:rsidR="00DD2782" w:rsidRPr="00367C15">
        <w:rPr>
          <w:sz w:val="26"/>
          <w:szCs w:val="26"/>
          <w:lang w:val="uk-UA" w:eastAsia="pl-PL"/>
        </w:rPr>
        <w:t xml:space="preserve"> та, що надміру сплачені у 2022 році суб’єктами аудиторської діяльності суми внесків на користь </w:t>
      </w:r>
      <w:r w:rsidR="00DD2782" w:rsidRPr="00367C15">
        <w:rPr>
          <w:sz w:val="26"/>
          <w:szCs w:val="26"/>
          <w:lang w:val="uk-UA"/>
        </w:rPr>
        <w:t>Аудиторської палати Украї</w:t>
      </w:r>
      <w:r w:rsidR="00DD2782" w:rsidRPr="00367C15">
        <w:rPr>
          <w:rFonts w:eastAsia="Malgun Gothic Semilight"/>
          <w:sz w:val="26"/>
          <w:szCs w:val="26"/>
          <w:lang w:val="uk-UA"/>
        </w:rPr>
        <w:t>ни</w:t>
      </w:r>
      <w:r w:rsidR="00DD2782" w:rsidRPr="00367C15">
        <w:rPr>
          <w:sz w:val="26"/>
          <w:szCs w:val="26"/>
          <w:lang w:val="uk-UA" w:eastAsia="pl-PL"/>
        </w:rPr>
        <w:t xml:space="preserve"> зараховуються у рахунок майбутніх платежів.</w:t>
      </w:r>
    </w:p>
    <w:p w14:paraId="3F8E0D42" w14:textId="728D8EB3" w:rsidR="00D20565" w:rsidRPr="00367C15" w:rsidRDefault="00D20565" w:rsidP="00AE45E8">
      <w:pPr>
        <w:pStyle w:val="docdat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  <w:lang w:val="uk-UA" w:eastAsia="pl-PL"/>
        </w:rPr>
      </w:pPr>
      <w:r w:rsidRPr="00367C15">
        <w:rPr>
          <w:b/>
          <w:bCs/>
          <w:sz w:val="26"/>
          <w:szCs w:val="26"/>
          <w:u w:val="single"/>
          <w:lang w:val="uk-UA" w:eastAsia="pl-PL"/>
        </w:rPr>
        <w:t xml:space="preserve">Відносно щорічних членських внесків аудиторами та САД </w:t>
      </w:r>
      <w:r w:rsidR="00D96522" w:rsidRPr="00367C15">
        <w:rPr>
          <w:b/>
          <w:bCs/>
          <w:sz w:val="26"/>
          <w:szCs w:val="26"/>
          <w:u w:val="single"/>
          <w:lang w:val="uk-UA" w:eastAsia="pl-PL"/>
        </w:rPr>
        <w:t>в</w:t>
      </w:r>
      <w:r w:rsidRPr="00367C15">
        <w:rPr>
          <w:b/>
          <w:bCs/>
          <w:sz w:val="26"/>
          <w:szCs w:val="26"/>
          <w:u w:val="single"/>
          <w:lang w:val="uk-UA" w:eastAsia="pl-PL"/>
        </w:rPr>
        <w:t xml:space="preserve"> АПУ.</w:t>
      </w:r>
    </w:p>
    <w:p w14:paraId="6674CDB8" w14:textId="15CA6B5F" w:rsidR="000234A6" w:rsidRPr="00367C15" w:rsidRDefault="000234A6" w:rsidP="00A747CA">
      <w:pPr>
        <w:pStyle w:val="docdat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lang w:val="uk-UA" w:eastAsia="pl-PL"/>
        </w:rPr>
      </w:pPr>
      <w:r w:rsidRPr="00367C15">
        <w:rPr>
          <w:sz w:val="26"/>
          <w:szCs w:val="26"/>
          <w:lang w:val="uk-UA" w:eastAsia="pl-PL"/>
        </w:rPr>
        <w:t xml:space="preserve">Відповідно до вимог пункту третього частини четвертої статті 48 Закону України «Про аудит фінансової звітності та аудиторську діяльність» від 21.12.2017 № 2258-VIII (далі – Закон) </w:t>
      </w:r>
      <w:r w:rsidRPr="00367C15">
        <w:rPr>
          <w:b/>
          <w:bCs/>
          <w:sz w:val="26"/>
          <w:szCs w:val="26"/>
          <w:lang w:val="uk-UA" w:eastAsia="pl-PL"/>
        </w:rPr>
        <w:t>затвердження Положення про членські внески</w:t>
      </w:r>
      <w:r w:rsidR="00074093" w:rsidRPr="00367C15">
        <w:rPr>
          <w:b/>
          <w:bCs/>
          <w:sz w:val="26"/>
          <w:szCs w:val="26"/>
          <w:lang w:val="uk-UA" w:eastAsia="pl-PL"/>
        </w:rPr>
        <w:t xml:space="preserve">, внесення змін та доповнень до нього, </w:t>
      </w:r>
      <w:r w:rsidRPr="00367C15">
        <w:rPr>
          <w:b/>
          <w:bCs/>
          <w:sz w:val="26"/>
          <w:szCs w:val="26"/>
          <w:lang w:val="uk-UA" w:eastAsia="pl-PL"/>
        </w:rPr>
        <w:t xml:space="preserve"> визначення розміру членських внесків належить до виключної компетенції з’їзду аудиторів України.</w:t>
      </w:r>
    </w:p>
    <w:p w14:paraId="2A050A40" w14:textId="77777777" w:rsidR="000234A6" w:rsidRPr="00367C15" w:rsidRDefault="000234A6" w:rsidP="00A747CA">
      <w:pPr>
        <w:pStyle w:val="docdat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lang w:val="uk-UA" w:eastAsia="pl-PL"/>
        </w:rPr>
      </w:pPr>
      <w:r w:rsidRPr="00367C15">
        <w:rPr>
          <w:sz w:val="26"/>
          <w:szCs w:val="26"/>
          <w:lang w:val="uk-UA" w:eastAsia="pl-PL"/>
        </w:rPr>
        <w:t xml:space="preserve">Рішенням чергового з’їзду аудиторів України від 18.05.2019 № 1/9 затверджено Положення про членські внески до Аудиторської палати України (далі – Положення), абзацом першим пункту 2.1 якого визначено, що </w:t>
      </w:r>
      <w:r w:rsidRPr="00367C15">
        <w:rPr>
          <w:b/>
          <w:bCs/>
          <w:sz w:val="26"/>
          <w:szCs w:val="26"/>
          <w:lang w:val="uk-UA" w:eastAsia="pl-PL"/>
        </w:rPr>
        <w:t xml:space="preserve">розмір членських внесків встановлюється та змінюється з’їздом аудиторів України на основі кошторису Аудиторської палати України на виконання власних повноважень на відповідний рік. </w:t>
      </w:r>
    </w:p>
    <w:p w14:paraId="1E66FD23" w14:textId="1F6F1DF0" w:rsidR="000234A6" w:rsidRPr="00367C15" w:rsidRDefault="000234A6" w:rsidP="00A747CA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 w:eastAsia="pl-PL"/>
        </w:rPr>
      </w:pPr>
      <w:r w:rsidRPr="00367C15">
        <w:rPr>
          <w:sz w:val="26"/>
          <w:szCs w:val="26"/>
          <w:lang w:val="uk-UA" w:eastAsia="pl-PL"/>
        </w:rPr>
        <w:t xml:space="preserve">Пунктом 2.2 Положення встановлено, що </w:t>
      </w:r>
      <w:r w:rsidRPr="00367C15">
        <w:rPr>
          <w:b/>
          <w:bCs/>
          <w:sz w:val="26"/>
          <w:szCs w:val="26"/>
          <w:lang w:val="uk-UA" w:eastAsia="pl-PL"/>
        </w:rPr>
        <w:t xml:space="preserve">кожен член Аудиторської палати України зобов’язаний щорічно до 1 липня поточного року сплачувати членський внесок </w:t>
      </w:r>
      <w:r w:rsidRPr="00367C15">
        <w:rPr>
          <w:sz w:val="26"/>
          <w:szCs w:val="26"/>
          <w:lang w:val="uk-UA" w:eastAsia="pl-PL"/>
        </w:rPr>
        <w:t xml:space="preserve">у безготівковій формі шляхом перерахування його повної суми на поточний рахунок Аудиторської палати України. </w:t>
      </w:r>
    </w:p>
    <w:p w14:paraId="04DC4AF8" w14:textId="688B622A" w:rsidR="00074093" w:rsidRPr="00367C15" w:rsidRDefault="00074093" w:rsidP="00A747CA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 w:eastAsia="pl-PL"/>
        </w:rPr>
      </w:pPr>
      <w:r w:rsidRPr="00367C15">
        <w:rPr>
          <w:sz w:val="26"/>
          <w:szCs w:val="26"/>
          <w:lang w:val="uk-UA" w:eastAsia="pl-PL"/>
        </w:rPr>
        <w:t xml:space="preserve">В той же час, Положенням про членські внески визначений порядок та випадки звільнення членів АПУ від сплати членських внесків за відповідний рік (роки) або відтермінування сплати (пункти 2.7., 4.1. Положення).  </w:t>
      </w:r>
    </w:p>
    <w:p w14:paraId="0AB1AED4" w14:textId="77777777" w:rsidR="006C7486" w:rsidRPr="00367C15" w:rsidRDefault="006C7486" w:rsidP="00A747CA">
      <w:pPr>
        <w:pStyle w:val="docdata"/>
        <w:spacing w:before="0" w:beforeAutospacing="0" w:after="0" w:afterAutospacing="0"/>
        <w:ind w:firstLine="567"/>
        <w:jc w:val="both"/>
        <w:rPr>
          <w:bCs/>
          <w:sz w:val="26"/>
          <w:szCs w:val="26"/>
          <w:lang w:val="uk-UA"/>
        </w:rPr>
      </w:pPr>
      <w:r w:rsidRPr="00367C15">
        <w:rPr>
          <w:sz w:val="26"/>
          <w:szCs w:val="26"/>
          <w:lang w:val="uk-UA"/>
        </w:rPr>
        <w:lastRenderedPageBreak/>
        <w:t>У</w:t>
      </w:r>
      <w:r w:rsidR="00F316CD" w:rsidRPr="00367C15">
        <w:rPr>
          <w:sz w:val="26"/>
          <w:szCs w:val="26"/>
          <w:lang w:val="uk-UA"/>
        </w:rPr>
        <w:t xml:space="preserve"> зв’язку з </w:t>
      </w:r>
      <w:r w:rsidR="00F316CD" w:rsidRPr="00367C15">
        <w:rPr>
          <w:rFonts w:eastAsia="Calibri"/>
          <w:bCs/>
          <w:sz w:val="26"/>
          <w:szCs w:val="26"/>
          <w:lang w:val="uk-UA"/>
        </w:rPr>
        <w:t xml:space="preserve">триваючою </w:t>
      </w:r>
      <w:r w:rsidR="00F316CD" w:rsidRPr="00367C15">
        <w:rPr>
          <w:bCs/>
          <w:sz w:val="26"/>
          <w:szCs w:val="26"/>
          <w:lang w:val="uk-UA"/>
        </w:rPr>
        <w:t>широкомасштабною</w:t>
      </w:r>
      <w:r w:rsidR="00F316CD" w:rsidRPr="00367C15">
        <w:rPr>
          <w:rFonts w:eastAsia="Calibri"/>
          <w:bCs/>
          <w:sz w:val="26"/>
          <w:szCs w:val="26"/>
          <w:lang w:val="uk-UA"/>
        </w:rPr>
        <w:t xml:space="preserve"> збройною агресією Російської Федерації проти України</w:t>
      </w:r>
      <w:r w:rsidR="00570BC2" w:rsidRPr="00367C15">
        <w:rPr>
          <w:rFonts w:eastAsia="Calibri"/>
          <w:bCs/>
          <w:sz w:val="26"/>
          <w:szCs w:val="26"/>
          <w:lang w:val="uk-UA"/>
        </w:rPr>
        <w:t xml:space="preserve"> та </w:t>
      </w:r>
      <w:r w:rsidR="00570BC2" w:rsidRPr="00367C15">
        <w:rPr>
          <w:sz w:val="26"/>
          <w:szCs w:val="26"/>
          <w:lang w:val="uk-UA"/>
        </w:rPr>
        <w:t>запровадження воєнного стану</w:t>
      </w:r>
      <w:r w:rsidR="00F316CD" w:rsidRPr="00367C15">
        <w:rPr>
          <w:rFonts w:eastAsia="Calibri"/>
          <w:bCs/>
          <w:sz w:val="26"/>
          <w:szCs w:val="26"/>
          <w:lang w:val="uk-UA"/>
        </w:rPr>
        <w:t xml:space="preserve">, що становить </w:t>
      </w:r>
      <w:r w:rsidR="00F316CD" w:rsidRPr="00367C15">
        <w:rPr>
          <w:sz w:val="26"/>
          <w:szCs w:val="26"/>
          <w:lang w:val="uk-UA"/>
        </w:rPr>
        <w:t xml:space="preserve">загрозу життю та здоров`ю членів </w:t>
      </w:r>
      <w:r w:rsidR="00F316CD" w:rsidRPr="00367C15">
        <w:rPr>
          <w:sz w:val="26"/>
          <w:szCs w:val="26"/>
          <w:lang w:val="uk-UA" w:eastAsia="pl-PL"/>
        </w:rPr>
        <w:t>Аудиторської палати України</w:t>
      </w:r>
      <w:r w:rsidR="00570BC2" w:rsidRPr="00367C15">
        <w:rPr>
          <w:sz w:val="26"/>
          <w:szCs w:val="26"/>
          <w:lang w:val="uk-UA" w:eastAsia="pl-PL"/>
        </w:rPr>
        <w:t>,</w:t>
      </w:r>
      <w:r w:rsidR="00F316CD" w:rsidRPr="00367C15">
        <w:rPr>
          <w:sz w:val="26"/>
          <w:szCs w:val="26"/>
          <w:lang w:val="uk-UA"/>
        </w:rPr>
        <w:t xml:space="preserve"> </w:t>
      </w:r>
      <w:r w:rsidR="00570BC2" w:rsidRPr="00367C15">
        <w:rPr>
          <w:sz w:val="26"/>
          <w:szCs w:val="26"/>
          <w:lang w:val="uk-UA"/>
        </w:rPr>
        <w:t>Радою Аудиторської палати України прийняте рішення від 28.04.2022 № 85/1,  як</w:t>
      </w:r>
      <w:r w:rsidRPr="00367C15">
        <w:rPr>
          <w:sz w:val="26"/>
          <w:szCs w:val="26"/>
          <w:lang w:val="uk-UA"/>
        </w:rPr>
        <w:t>им</w:t>
      </w:r>
      <w:r w:rsidR="00570BC2" w:rsidRPr="00367C15">
        <w:rPr>
          <w:sz w:val="26"/>
          <w:szCs w:val="26"/>
          <w:lang w:val="uk-UA"/>
        </w:rPr>
        <w:t xml:space="preserve"> в</w:t>
      </w:r>
      <w:r w:rsidRPr="00367C15">
        <w:rPr>
          <w:sz w:val="26"/>
          <w:szCs w:val="26"/>
          <w:lang w:val="uk-UA"/>
        </w:rPr>
        <w:t>становлено</w:t>
      </w:r>
      <w:r w:rsidR="00570BC2" w:rsidRPr="00367C15">
        <w:rPr>
          <w:sz w:val="26"/>
          <w:szCs w:val="26"/>
          <w:lang w:val="uk-UA"/>
        </w:rPr>
        <w:t xml:space="preserve">, що </w:t>
      </w:r>
      <w:r w:rsidR="00570BC2" w:rsidRPr="00367C15">
        <w:rPr>
          <w:b/>
          <w:sz w:val="26"/>
          <w:szCs w:val="26"/>
          <w:lang w:val="uk-UA"/>
        </w:rPr>
        <w:t xml:space="preserve">дату та місце проведення з’їзду аудиторів України визначити </w:t>
      </w:r>
      <w:r w:rsidRPr="00367C15">
        <w:rPr>
          <w:b/>
          <w:sz w:val="26"/>
          <w:szCs w:val="26"/>
          <w:lang w:val="uk-UA"/>
        </w:rPr>
        <w:t>після скасування воєнного стану</w:t>
      </w:r>
      <w:r w:rsidRPr="00367C15">
        <w:rPr>
          <w:sz w:val="26"/>
          <w:szCs w:val="26"/>
          <w:lang w:val="uk-UA"/>
        </w:rPr>
        <w:t xml:space="preserve"> з урахуванням </w:t>
      </w:r>
      <w:r w:rsidRPr="00367C15">
        <w:rPr>
          <w:bCs/>
          <w:sz w:val="26"/>
          <w:szCs w:val="26"/>
          <w:lang w:val="uk-UA"/>
        </w:rPr>
        <w:t>можливості забезпечення рівних можливостей доступу аудиторів до участі у професійному самоврядуванні</w:t>
      </w:r>
      <w:r w:rsidRPr="00367C15">
        <w:rPr>
          <w:sz w:val="26"/>
          <w:szCs w:val="26"/>
          <w:lang w:val="uk-UA"/>
        </w:rPr>
        <w:t xml:space="preserve"> та недопущення </w:t>
      </w:r>
      <w:r w:rsidRPr="00367C15">
        <w:rPr>
          <w:bCs/>
          <w:sz w:val="26"/>
          <w:szCs w:val="26"/>
          <w:lang w:val="uk-UA"/>
        </w:rPr>
        <w:t>загрози життю та здоров’ю аудиторів під час проведення з’їзду.</w:t>
      </w:r>
    </w:p>
    <w:p w14:paraId="5D8CC2B8" w14:textId="77777777" w:rsidR="00C35B19" w:rsidRPr="00367C15" w:rsidRDefault="00C35B19" w:rsidP="00A747CA">
      <w:pPr>
        <w:pStyle w:val="docdata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lang w:val="uk-UA"/>
        </w:rPr>
      </w:pPr>
      <w:r w:rsidRPr="00367C15">
        <w:rPr>
          <w:color w:val="000000"/>
          <w:sz w:val="26"/>
          <w:szCs w:val="26"/>
          <w:lang w:val="uk-UA"/>
        </w:rPr>
        <w:t xml:space="preserve">Водночас, нормою абзацу другого пункту 2.1 Положення про членські внески, передбачено, що </w:t>
      </w:r>
      <w:r w:rsidRPr="00367C15">
        <w:rPr>
          <w:b/>
          <w:bCs/>
          <w:color w:val="000000"/>
          <w:sz w:val="26"/>
          <w:szCs w:val="26"/>
          <w:lang w:val="uk-UA"/>
        </w:rPr>
        <w:t>у разі незатвердження з’їздом розміру членських внесків на поточний рік, у зв’язку з неможливістю скликання з’їзду до 30 червня поточного року, розмір внесків залишається на рівні внесків попереднього року.</w:t>
      </w:r>
    </w:p>
    <w:p w14:paraId="67690215" w14:textId="2DCCA5B3" w:rsidR="006909D5" w:rsidRPr="00EC3A10" w:rsidRDefault="00EC3A10" w:rsidP="00EC3A10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C3A10">
        <w:rPr>
          <w:sz w:val="26"/>
          <w:szCs w:val="26"/>
          <w:lang w:val="uk-UA"/>
        </w:rPr>
        <w:t xml:space="preserve">Додатково інформуємо, що  Торгово-промисловою палатою України, листом від 28 лютого 2022 року за № 2024/02.0-7.1, повідомлено про засвідчення з 24 лютого 2022 року факту настання форс-мажорних обставин (обставин непереборної сили): військову агресію Російської Федерації проти України, що стало підставою для введення воєнного стану в Україні.  Тому у разі об`єктивної неможливості сплатити членські внески у встановлений Положенням строк, аудитори та суб'єкти аудиторської діяльності звільняються від відповідальності за невиконання зобов'язань щодо сплати внесків до завершення воєнного стану.  </w:t>
      </w:r>
      <w:r w:rsidR="00B16E1B" w:rsidRPr="00EC3A10">
        <w:rPr>
          <w:sz w:val="26"/>
          <w:szCs w:val="26"/>
          <w:lang w:val="uk-UA"/>
        </w:rPr>
        <w:t>Водночас, звільнення від відповідальності за порушення зобов`язання внаслідок дії обставин непереборної сили не звільняє від виконання самого зобов’язання.</w:t>
      </w:r>
    </w:p>
    <w:p w14:paraId="6F7DC57D" w14:textId="64CB3316" w:rsidR="006909D5" w:rsidRPr="00367C15" w:rsidRDefault="00FF538E" w:rsidP="00A747CA">
      <w:pPr>
        <w:pStyle w:val="docdata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lang w:val="uk-UA"/>
        </w:rPr>
      </w:pPr>
      <w:r w:rsidRPr="00367C15">
        <w:rPr>
          <w:color w:val="000000"/>
          <w:sz w:val="26"/>
          <w:szCs w:val="26"/>
          <w:lang w:val="uk-UA"/>
        </w:rPr>
        <w:t>В</w:t>
      </w:r>
      <w:r w:rsidR="00187B69" w:rsidRPr="00367C15">
        <w:rPr>
          <w:color w:val="000000"/>
          <w:sz w:val="26"/>
          <w:szCs w:val="26"/>
          <w:lang w:val="uk-UA"/>
        </w:rPr>
        <w:t>раховую</w:t>
      </w:r>
      <w:r w:rsidR="006909D5" w:rsidRPr="00367C15">
        <w:rPr>
          <w:color w:val="000000"/>
          <w:sz w:val="26"/>
          <w:szCs w:val="26"/>
          <w:lang w:val="uk-UA"/>
        </w:rPr>
        <w:t>чи складну фінансову ситуацію</w:t>
      </w:r>
      <w:r w:rsidR="00013C48" w:rsidRPr="00367C15">
        <w:rPr>
          <w:color w:val="000000"/>
          <w:sz w:val="26"/>
          <w:szCs w:val="26"/>
          <w:lang w:val="uk-UA"/>
        </w:rPr>
        <w:t>,</w:t>
      </w:r>
      <w:r w:rsidR="006909D5" w:rsidRPr="00367C15">
        <w:rPr>
          <w:color w:val="000000"/>
          <w:sz w:val="26"/>
          <w:szCs w:val="26"/>
          <w:lang w:val="uk-UA"/>
        </w:rPr>
        <w:t xml:space="preserve"> </w:t>
      </w:r>
      <w:r w:rsidR="00013C48" w:rsidRPr="00367C15">
        <w:rPr>
          <w:color w:val="000000"/>
          <w:sz w:val="26"/>
          <w:szCs w:val="26"/>
          <w:lang w:val="uk-UA"/>
        </w:rPr>
        <w:t>у</w:t>
      </w:r>
      <w:r w:rsidR="006909D5" w:rsidRPr="00367C15">
        <w:rPr>
          <w:color w:val="000000"/>
          <w:sz w:val="26"/>
          <w:szCs w:val="26"/>
          <w:lang w:val="uk-UA"/>
        </w:rPr>
        <w:t xml:space="preserve"> як</w:t>
      </w:r>
      <w:r w:rsidR="00013C48" w:rsidRPr="00367C15">
        <w:rPr>
          <w:color w:val="000000"/>
          <w:sz w:val="26"/>
          <w:szCs w:val="26"/>
          <w:lang w:val="uk-UA"/>
        </w:rPr>
        <w:t>ій</w:t>
      </w:r>
      <w:r w:rsidR="006909D5" w:rsidRPr="00367C15">
        <w:rPr>
          <w:color w:val="000000"/>
          <w:sz w:val="26"/>
          <w:szCs w:val="26"/>
          <w:lang w:val="uk-UA"/>
        </w:rPr>
        <w:t xml:space="preserve"> опинилися більшість членів АПУ</w:t>
      </w:r>
      <w:r w:rsidRPr="00367C15">
        <w:rPr>
          <w:color w:val="000000"/>
          <w:sz w:val="26"/>
          <w:szCs w:val="26"/>
          <w:lang w:val="uk-UA"/>
        </w:rPr>
        <w:t xml:space="preserve"> та усвідомлюючи необхідність підтримки аудиторів та </w:t>
      </w:r>
      <w:bookmarkStart w:id="0" w:name="_Hlk102640188"/>
      <w:r w:rsidRPr="00367C15">
        <w:rPr>
          <w:color w:val="000000"/>
          <w:sz w:val="26"/>
          <w:szCs w:val="26"/>
          <w:lang w:val="uk-UA"/>
        </w:rPr>
        <w:t>суб’єктів аудиторської діяльності</w:t>
      </w:r>
      <w:bookmarkEnd w:id="0"/>
      <w:r w:rsidRPr="00367C15">
        <w:rPr>
          <w:color w:val="000000"/>
          <w:sz w:val="26"/>
          <w:szCs w:val="26"/>
          <w:lang w:val="uk-UA"/>
        </w:rPr>
        <w:t xml:space="preserve">, </w:t>
      </w:r>
      <w:r w:rsidR="00672BAA" w:rsidRPr="00672BAA">
        <w:rPr>
          <w:color w:val="000000"/>
          <w:sz w:val="26"/>
          <w:szCs w:val="26"/>
          <w:lang w:val="uk-UA"/>
        </w:rPr>
        <w:t xml:space="preserve">Рада АПУ </w:t>
      </w:r>
      <w:r w:rsidR="00F3648B" w:rsidRPr="00367C15">
        <w:rPr>
          <w:color w:val="000000"/>
          <w:sz w:val="26"/>
          <w:szCs w:val="26"/>
          <w:lang w:val="uk-UA"/>
        </w:rPr>
        <w:t xml:space="preserve">з огляду на те, що встановлення розміру членських внесків, а також внесення будь-яких змін до Положення згідно із Законом віднесено до виключної компетенції з`їзду аудиторів, </w:t>
      </w:r>
      <w:r w:rsidR="00F74361" w:rsidRPr="00367C15">
        <w:rPr>
          <w:color w:val="000000"/>
          <w:sz w:val="26"/>
          <w:szCs w:val="26"/>
          <w:lang w:val="uk-UA"/>
        </w:rPr>
        <w:t>просить</w:t>
      </w:r>
      <w:r w:rsidR="00F3648B" w:rsidRPr="00367C15">
        <w:rPr>
          <w:color w:val="000000"/>
          <w:sz w:val="26"/>
          <w:szCs w:val="26"/>
          <w:lang w:val="uk-UA"/>
        </w:rPr>
        <w:t xml:space="preserve"> з порозумінням віднестись </w:t>
      </w:r>
      <w:r w:rsidR="00F3648B" w:rsidRPr="00367C15">
        <w:rPr>
          <w:b/>
          <w:bCs/>
          <w:color w:val="000000"/>
          <w:sz w:val="26"/>
          <w:szCs w:val="26"/>
          <w:lang w:val="uk-UA"/>
        </w:rPr>
        <w:t>до неможливості зменшення або скасування сплати членських внесків на 2022 рік Радою Аудиторської палати України за відсутності законодавчо визначених повноважень на вчинення таких дій.</w:t>
      </w:r>
      <w:r w:rsidR="00F74361" w:rsidRPr="00367C15">
        <w:rPr>
          <w:b/>
          <w:bCs/>
          <w:color w:val="000000"/>
          <w:sz w:val="26"/>
          <w:szCs w:val="26"/>
          <w:lang w:val="uk-UA"/>
        </w:rPr>
        <w:t xml:space="preserve"> </w:t>
      </w:r>
    </w:p>
    <w:p w14:paraId="058F5398" w14:textId="6DB39124" w:rsidR="006909D5" w:rsidRPr="00367C15" w:rsidRDefault="006909D5" w:rsidP="00A747CA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367C15">
        <w:rPr>
          <w:color w:val="000000"/>
          <w:sz w:val="26"/>
          <w:szCs w:val="26"/>
          <w:lang w:val="uk-UA"/>
        </w:rPr>
        <w:t xml:space="preserve">Одночасно </w:t>
      </w:r>
      <w:r w:rsidRPr="00367C15">
        <w:rPr>
          <w:b/>
          <w:bCs/>
          <w:color w:val="000000"/>
          <w:sz w:val="26"/>
          <w:szCs w:val="26"/>
          <w:lang w:val="uk-UA"/>
        </w:rPr>
        <w:t xml:space="preserve">Рада АПУ підтримує пропозиції щодо внесення змін до Закону в частині </w:t>
      </w:r>
      <w:r w:rsidR="00187B69" w:rsidRPr="00367C15">
        <w:rPr>
          <w:b/>
          <w:bCs/>
          <w:color w:val="000000"/>
          <w:sz w:val="26"/>
          <w:szCs w:val="26"/>
          <w:lang w:val="uk-UA"/>
        </w:rPr>
        <w:t xml:space="preserve">скасування членських внесків </w:t>
      </w:r>
      <w:r w:rsidR="00FF538E" w:rsidRPr="00367C15">
        <w:rPr>
          <w:b/>
          <w:bCs/>
          <w:color w:val="000000"/>
          <w:sz w:val="26"/>
          <w:szCs w:val="26"/>
          <w:lang w:val="uk-UA"/>
        </w:rPr>
        <w:t>для</w:t>
      </w:r>
      <w:r w:rsidR="009A0547">
        <w:rPr>
          <w:b/>
          <w:bCs/>
          <w:color w:val="000000"/>
          <w:sz w:val="26"/>
          <w:szCs w:val="26"/>
          <w:lang w:val="uk-UA"/>
        </w:rPr>
        <w:t xml:space="preserve"> окремих категорій членів АПУ</w:t>
      </w:r>
      <w:r w:rsidR="00FF538E" w:rsidRPr="00367C15">
        <w:rPr>
          <w:color w:val="000000"/>
          <w:sz w:val="26"/>
          <w:szCs w:val="26"/>
          <w:lang w:val="uk-UA"/>
        </w:rPr>
        <w:t>.</w:t>
      </w:r>
      <w:r w:rsidR="00187B69" w:rsidRPr="00367C15">
        <w:rPr>
          <w:color w:val="000000"/>
          <w:sz w:val="26"/>
          <w:szCs w:val="26"/>
          <w:lang w:val="uk-UA"/>
        </w:rPr>
        <w:t xml:space="preserve"> </w:t>
      </w:r>
    </w:p>
    <w:p w14:paraId="7D691BC9" w14:textId="758C47DB" w:rsidR="00013C48" w:rsidRDefault="004A0B4A" w:rsidP="00013C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Також, в</w:t>
      </w:r>
      <w:r w:rsidR="00013C48" w:rsidRPr="00367C15">
        <w:rPr>
          <w:color w:val="000000"/>
          <w:sz w:val="26"/>
          <w:szCs w:val="26"/>
          <w:lang w:val="uk-UA"/>
        </w:rPr>
        <w:t xml:space="preserve">раховуючи вищенаведене, </w:t>
      </w:r>
      <w:r w:rsidR="00CC7A8C" w:rsidRPr="00367C15">
        <w:rPr>
          <w:color w:val="000000"/>
          <w:sz w:val="26"/>
          <w:szCs w:val="26"/>
          <w:lang w:val="uk-UA"/>
        </w:rPr>
        <w:t xml:space="preserve">Рада </w:t>
      </w:r>
      <w:r w:rsidR="00013C48" w:rsidRPr="00367C15">
        <w:rPr>
          <w:color w:val="000000"/>
          <w:sz w:val="26"/>
          <w:szCs w:val="26"/>
          <w:lang w:val="uk-UA"/>
        </w:rPr>
        <w:t>Аудиторськ</w:t>
      </w:r>
      <w:r w:rsidR="00CC7A8C" w:rsidRPr="00367C15">
        <w:rPr>
          <w:color w:val="000000"/>
          <w:sz w:val="26"/>
          <w:szCs w:val="26"/>
          <w:lang w:val="uk-UA"/>
        </w:rPr>
        <w:t>ої</w:t>
      </w:r>
      <w:r w:rsidR="00013C48" w:rsidRPr="00367C15">
        <w:rPr>
          <w:color w:val="000000"/>
          <w:sz w:val="26"/>
          <w:szCs w:val="26"/>
          <w:lang w:val="uk-UA"/>
        </w:rPr>
        <w:t xml:space="preserve"> палат</w:t>
      </w:r>
      <w:r w:rsidR="00CC7A8C" w:rsidRPr="00367C15">
        <w:rPr>
          <w:color w:val="000000"/>
          <w:sz w:val="26"/>
          <w:szCs w:val="26"/>
          <w:lang w:val="uk-UA"/>
        </w:rPr>
        <w:t>и</w:t>
      </w:r>
      <w:r w:rsidR="00013C48" w:rsidRPr="00367C15">
        <w:rPr>
          <w:color w:val="000000"/>
          <w:sz w:val="26"/>
          <w:szCs w:val="26"/>
          <w:lang w:val="uk-UA"/>
        </w:rPr>
        <w:t xml:space="preserve"> України ініціює законодавче </w:t>
      </w:r>
      <w:r w:rsidR="00CC7A8C" w:rsidRPr="00367C15">
        <w:rPr>
          <w:color w:val="000000"/>
          <w:sz w:val="26"/>
          <w:szCs w:val="26"/>
          <w:lang w:val="uk-UA"/>
        </w:rPr>
        <w:t xml:space="preserve">врегулювання </w:t>
      </w:r>
      <w:r w:rsidR="00CC7A8C" w:rsidRPr="004A0B4A">
        <w:rPr>
          <w:b/>
          <w:bCs/>
          <w:color w:val="000000"/>
          <w:sz w:val="26"/>
          <w:szCs w:val="26"/>
          <w:lang w:val="uk-UA"/>
        </w:rPr>
        <w:t xml:space="preserve">щодо </w:t>
      </w:r>
      <w:r w:rsidR="00013C48" w:rsidRPr="004A0B4A">
        <w:rPr>
          <w:b/>
          <w:bCs/>
          <w:color w:val="000000"/>
          <w:sz w:val="26"/>
          <w:szCs w:val="26"/>
          <w:lang w:val="uk-UA"/>
        </w:rPr>
        <w:t xml:space="preserve">відтермінування сплати членських внесків за 2022 рік до проведення </w:t>
      </w:r>
      <w:r w:rsidR="00367C15" w:rsidRPr="004A0B4A">
        <w:rPr>
          <w:b/>
          <w:bCs/>
          <w:color w:val="000000"/>
          <w:sz w:val="26"/>
          <w:szCs w:val="26"/>
          <w:lang w:val="uk-UA"/>
        </w:rPr>
        <w:t>з</w:t>
      </w:r>
      <w:r w:rsidR="00013C48" w:rsidRPr="004A0B4A">
        <w:rPr>
          <w:b/>
          <w:bCs/>
          <w:color w:val="000000"/>
          <w:sz w:val="26"/>
          <w:szCs w:val="26"/>
          <w:lang w:val="uk-UA"/>
        </w:rPr>
        <w:t>’їзду</w:t>
      </w:r>
      <w:r w:rsidR="00367C15" w:rsidRPr="004A0B4A">
        <w:rPr>
          <w:b/>
          <w:bCs/>
          <w:color w:val="000000"/>
          <w:sz w:val="26"/>
          <w:szCs w:val="26"/>
          <w:lang w:val="uk-UA"/>
        </w:rPr>
        <w:t xml:space="preserve"> аудиторів</w:t>
      </w:r>
      <w:r w:rsidR="00013C48" w:rsidRPr="00367C15">
        <w:rPr>
          <w:color w:val="000000"/>
          <w:sz w:val="26"/>
          <w:szCs w:val="26"/>
          <w:lang w:val="uk-UA"/>
        </w:rPr>
        <w:t xml:space="preserve">, на якому відбудеться встановлення </w:t>
      </w:r>
      <w:r w:rsidR="00CC7A8C" w:rsidRPr="00367C15">
        <w:rPr>
          <w:color w:val="000000"/>
          <w:sz w:val="26"/>
          <w:szCs w:val="26"/>
          <w:lang w:val="uk-UA"/>
        </w:rPr>
        <w:t>розміру членських внесків</w:t>
      </w:r>
      <w:r w:rsidR="00013C48" w:rsidRPr="00367C15">
        <w:rPr>
          <w:color w:val="000000"/>
          <w:sz w:val="26"/>
          <w:szCs w:val="26"/>
          <w:lang w:val="uk-UA"/>
        </w:rPr>
        <w:t xml:space="preserve"> </w:t>
      </w:r>
      <w:r w:rsidR="00CC7A8C" w:rsidRPr="00367C15">
        <w:rPr>
          <w:color w:val="000000"/>
          <w:sz w:val="26"/>
          <w:szCs w:val="26"/>
          <w:lang w:val="uk-UA"/>
        </w:rPr>
        <w:t xml:space="preserve">та строку </w:t>
      </w:r>
      <w:r w:rsidR="00013C48" w:rsidRPr="00367C15">
        <w:rPr>
          <w:color w:val="000000"/>
          <w:sz w:val="26"/>
          <w:szCs w:val="26"/>
          <w:lang w:val="uk-UA"/>
        </w:rPr>
        <w:t>їх сплати</w:t>
      </w:r>
      <w:r w:rsidR="00367C15" w:rsidRPr="00367C15">
        <w:rPr>
          <w:color w:val="000000"/>
          <w:sz w:val="26"/>
          <w:szCs w:val="26"/>
          <w:lang w:val="uk-UA"/>
        </w:rPr>
        <w:t>.</w:t>
      </w:r>
      <w:r w:rsidR="00013C48" w:rsidRPr="00367C15">
        <w:rPr>
          <w:color w:val="000000"/>
          <w:sz w:val="26"/>
          <w:szCs w:val="26"/>
          <w:lang w:val="uk-UA"/>
        </w:rPr>
        <w:t xml:space="preserve">   </w:t>
      </w:r>
    </w:p>
    <w:p w14:paraId="7EFB6C87" w14:textId="16BD17E3" w:rsidR="00B66A19" w:rsidRPr="00367C15" w:rsidRDefault="00F3648B" w:rsidP="00B66A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67C1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Одночасно нагадуємо, що</w:t>
      </w:r>
      <w:r w:rsidR="00B66A19" w:rsidRPr="00367C1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Аудиторська палата України є неприбутковою організацією і основним джерелом її фінансування є </w:t>
      </w:r>
      <w:r w:rsidR="00B66A19" w:rsidRPr="00367C15">
        <w:rPr>
          <w:rFonts w:ascii="Times New Roman" w:hAnsi="Times New Roman" w:cs="Times New Roman"/>
          <w:sz w:val="26"/>
          <w:szCs w:val="26"/>
          <w:lang w:val="uk-UA"/>
        </w:rPr>
        <w:t xml:space="preserve">членські внески, </w:t>
      </w:r>
      <w:r w:rsidR="00B66A19" w:rsidRPr="00367C15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обов’язок щодо сплати яких згідно з Положенням є необхідною умовою членства в АПУ.</w:t>
      </w:r>
    </w:p>
    <w:p w14:paraId="0E7F7839" w14:textId="6B281620" w:rsidR="00B66A19" w:rsidRPr="00367C15" w:rsidRDefault="00F74361" w:rsidP="00BC1B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67C1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66A19" w:rsidRPr="00367C1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даними Секретаріату Аудиторської палати України </w:t>
      </w:r>
      <w:r w:rsidR="00B66A19" w:rsidRPr="00367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заборгованість по сплаті членських внесків становить близько 1,5 млн.грн.</w:t>
      </w:r>
      <w:r w:rsidR="00B66A19" w:rsidRPr="00367C1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(за 2019 рік </w:t>
      </w:r>
      <w:r w:rsidR="002448FC" w:rsidRPr="00367C1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 понад 170,0 тис.грн.; за 2020 рік – понад 560,0 тис.грн. та за 2021 ріку – понад 700,0 тис.грн.).</w:t>
      </w:r>
    </w:p>
    <w:p w14:paraId="667D2E92" w14:textId="756EFD2E" w:rsidR="00617EE2" w:rsidRPr="00775D99" w:rsidRDefault="00F74361" w:rsidP="00A17CB0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67C15">
        <w:rPr>
          <w:color w:val="000000"/>
          <w:sz w:val="26"/>
          <w:szCs w:val="26"/>
          <w:lang w:val="uk-UA"/>
        </w:rPr>
        <w:t xml:space="preserve">        Членські  внески направлені на забезпечення життєздатності АПУ (оренда, заробітна плата працівників, підтримка </w:t>
      </w:r>
      <w:r w:rsidR="00CC7A8C" w:rsidRPr="00367C15">
        <w:rPr>
          <w:color w:val="000000"/>
          <w:sz w:val="26"/>
          <w:szCs w:val="26"/>
          <w:lang w:val="uk-UA"/>
        </w:rPr>
        <w:t xml:space="preserve">інформаційних ресурсів </w:t>
      </w:r>
      <w:r w:rsidRPr="00367C15">
        <w:rPr>
          <w:color w:val="000000"/>
          <w:sz w:val="26"/>
          <w:szCs w:val="26"/>
          <w:lang w:val="uk-UA"/>
        </w:rPr>
        <w:t xml:space="preserve"> тощо</w:t>
      </w:r>
      <w:r w:rsidR="00BC1B04" w:rsidRPr="00367C15">
        <w:rPr>
          <w:color w:val="000000"/>
          <w:sz w:val="26"/>
          <w:szCs w:val="26"/>
          <w:lang w:val="uk-UA"/>
        </w:rPr>
        <w:t>)</w:t>
      </w:r>
      <w:r w:rsidR="00A747CA" w:rsidRPr="00367C15">
        <w:rPr>
          <w:color w:val="000000"/>
          <w:sz w:val="26"/>
          <w:szCs w:val="26"/>
          <w:lang w:val="uk-UA"/>
        </w:rPr>
        <w:t xml:space="preserve">, </w:t>
      </w:r>
      <w:r w:rsidR="00BC1B04" w:rsidRPr="00367C15">
        <w:rPr>
          <w:color w:val="000000"/>
          <w:sz w:val="26"/>
          <w:szCs w:val="26"/>
          <w:lang w:val="uk-UA"/>
        </w:rPr>
        <w:t xml:space="preserve"> організацію з’їзду, багаточисельних заходів, конференцій, підготовку відповідей на звернення</w:t>
      </w:r>
      <w:r w:rsidR="00367C15" w:rsidRPr="00367C15">
        <w:rPr>
          <w:color w:val="000000"/>
          <w:sz w:val="26"/>
          <w:szCs w:val="26"/>
          <w:lang w:val="uk-UA"/>
        </w:rPr>
        <w:t xml:space="preserve"> та</w:t>
      </w:r>
      <w:r w:rsidR="00BC1B04" w:rsidRPr="00367C15">
        <w:rPr>
          <w:color w:val="000000"/>
          <w:sz w:val="26"/>
          <w:szCs w:val="26"/>
          <w:lang w:val="uk-UA"/>
        </w:rPr>
        <w:t xml:space="preserve"> розробку інформаційних повідомлень щодо застосування МСА, експертизу законопро</w:t>
      </w:r>
      <w:r w:rsidR="00367C15" w:rsidRPr="00367C15">
        <w:rPr>
          <w:color w:val="000000"/>
          <w:sz w:val="26"/>
          <w:szCs w:val="26"/>
          <w:lang w:val="uk-UA"/>
        </w:rPr>
        <w:t>ек</w:t>
      </w:r>
      <w:r w:rsidR="00BC1B04" w:rsidRPr="00367C15">
        <w:rPr>
          <w:color w:val="000000"/>
          <w:sz w:val="26"/>
          <w:szCs w:val="26"/>
          <w:lang w:val="uk-UA"/>
        </w:rPr>
        <w:t>тів, які стосуються аудиторсько</w:t>
      </w:r>
      <w:r w:rsidR="00A747CA" w:rsidRPr="00367C15">
        <w:rPr>
          <w:color w:val="000000"/>
          <w:sz w:val="26"/>
          <w:szCs w:val="26"/>
          <w:lang w:val="uk-UA"/>
        </w:rPr>
        <w:t>ї</w:t>
      </w:r>
      <w:r w:rsidR="00BC1B04" w:rsidRPr="00367C15">
        <w:rPr>
          <w:color w:val="000000"/>
          <w:sz w:val="26"/>
          <w:szCs w:val="26"/>
          <w:lang w:val="uk-UA"/>
        </w:rPr>
        <w:t xml:space="preserve"> </w:t>
      </w:r>
      <w:r w:rsidR="00A747CA" w:rsidRPr="00367C15">
        <w:rPr>
          <w:color w:val="000000"/>
          <w:sz w:val="26"/>
          <w:szCs w:val="26"/>
          <w:lang w:val="uk-UA"/>
        </w:rPr>
        <w:t xml:space="preserve">діяльності та на виконання інших </w:t>
      </w:r>
      <w:r w:rsidR="00367C15" w:rsidRPr="00367C15">
        <w:rPr>
          <w:color w:val="000000"/>
          <w:sz w:val="26"/>
          <w:szCs w:val="26"/>
          <w:lang w:val="uk-UA"/>
        </w:rPr>
        <w:t>завдань.</w:t>
      </w:r>
      <w:r w:rsidRPr="00367C15">
        <w:rPr>
          <w:color w:val="000000"/>
          <w:sz w:val="26"/>
          <w:szCs w:val="26"/>
          <w:lang w:val="uk-UA"/>
        </w:rPr>
        <w:t xml:space="preserve"> </w:t>
      </w:r>
      <w:bookmarkStart w:id="1" w:name="_GoBack"/>
      <w:bookmarkEnd w:id="1"/>
    </w:p>
    <w:sectPr w:rsidR="00617EE2" w:rsidRPr="00775D99" w:rsidSect="00617E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1"/>
    <w:rsid w:val="0000007D"/>
    <w:rsid w:val="00013C48"/>
    <w:rsid w:val="00022C59"/>
    <w:rsid w:val="000234A6"/>
    <w:rsid w:val="00026D5B"/>
    <w:rsid w:val="00031E73"/>
    <w:rsid w:val="00074093"/>
    <w:rsid w:val="00074494"/>
    <w:rsid w:val="00091300"/>
    <w:rsid w:val="000F4F8D"/>
    <w:rsid w:val="0012747F"/>
    <w:rsid w:val="0015723D"/>
    <w:rsid w:val="00161A3B"/>
    <w:rsid w:val="00165025"/>
    <w:rsid w:val="00187B69"/>
    <w:rsid w:val="001C76A5"/>
    <w:rsid w:val="0023150D"/>
    <w:rsid w:val="0023333E"/>
    <w:rsid w:val="002448FC"/>
    <w:rsid w:val="002531BE"/>
    <w:rsid w:val="00282B9F"/>
    <w:rsid w:val="002B5476"/>
    <w:rsid w:val="002C004F"/>
    <w:rsid w:val="002C7A48"/>
    <w:rsid w:val="00351991"/>
    <w:rsid w:val="00367C15"/>
    <w:rsid w:val="0039124E"/>
    <w:rsid w:val="003A0557"/>
    <w:rsid w:val="00416B58"/>
    <w:rsid w:val="004620B4"/>
    <w:rsid w:val="004721C5"/>
    <w:rsid w:val="004A0B4A"/>
    <w:rsid w:val="004A5821"/>
    <w:rsid w:val="004C07D6"/>
    <w:rsid w:val="00531AF2"/>
    <w:rsid w:val="00545069"/>
    <w:rsid w:val="00570BC2"/>
    <w:rsid w:val="005A02E4"/>
    <w:rsid w:val="00617EE2"/>
    <w:rsid w:val="00646AD5"/>
    <w:rsid w:val="00672BAA"/>
    <w:rsid w:val="00687BAE"/>
    <w:rsid w:val="006909D5"/>
    <w:rsid w:val="00694D7A"/>
    <w:rsid w:val="006C7486"/>
    <w:rsid w:val="00755E00"/>
    <w:rsid w:val="0076151E"/>
    <w:rsid w:val="00771922"/>
    <w:rsid w:val="00775D99"/>
    <w:rsid w:val="007A605F"/>
    <w:rsid w:val="007B4847"/>
    <w:rsid w:val="007F3B29"/>
    <w:rsid w:val="008E1F69"/>
    <w:rsid w:val="00951FD5"/>
    <w:rsid w:val="009875AD"/>
    <w:rsid w:val="009A0547"/>
    <w:rsid w:val="009C60C3"/>
    <w:rsid w:val="00A17CB0"/>
    <w:rsid w:val="00A747CA"/>
    <w:rsid w:val="00AE45E8"/>
    <w:rsid w:val="00B16E1B"/>
    <w:rsid w:val="00B57DD7"/>
    <w:rsid w:val="00B66A19"/>
    <w:rsid w:val="00BC1B04"/>
    <w:rsid w:val="00C35B19"/>
    <w:rsid w:val="00C763DD"/>
    <w:rsid w:val="00C9049A"/>
    <w:rsid w:val="00C970D3"/>
    <w:rsid w:val="00CC7A8C"/>
    <w:rsid w:val="00CE79AD"/>
    <w:rsid w:val="00D20565"/>
    <w:rsid w:val="00D96522"/>
    <w:rsid w:val="00D9735B"/>
    <w:rsid w:val="00DA2DEE"/>
    <w:rsid w:val="00DD2782"/>
    <w:rsid w:val="00E3156A"/>
    <w:rsid w:val="00E65C24"/>
    <w:rsid w:val="00E94021"/>
    <w:rsid w:val="00EC3A10"/>
    <w:rsid w:val="00F25073"/>
    <w:rsid w:val="00F316CD"/>
    <w:rsid w:val="00F33D57"/>
    <w:rsid w:val="00F3648B"/>
    <w:rsid w:val="00F7436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F1A2"/>
  <w15:docId w15:val="{C4618CD5-40ED-4EC8-8CE4-0B2CBDF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791,baiaagaaboqcaaadjvsaaauzwwaaaaaaaaaaaaaaaaaaaaaaaaaaaaaaaaaaaaaaaaaaaaaaaaaaaaaaaaaaaaaaaaaaaaaaaaaaaaaaaaaaaaaaaaaaaaaaaaaaaaaaaaaaaaaaaaaaaaaaaaaaaaaaaaaaaaaaaaaaaaaaaaaaaaaaaaaaaaaaaaaaaaaaaaaaaaaaaaaaaaaaaaaaaaaaaaaaaaaaaaaaaaa"/>
    <w:basedOn w:val="a"/>
    <w:rsid w:val="004A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26">
    <w:name w:val="3626"/>
    <w:aliases w:val="baiaagaaboqcaaadyawaaavudaaaaaaaaaaaaaaaaaaaaaaaaaaaaaaaaaaaaaaaaaaaaaaaaaaaaaaaaaaaaaaaaaaaaaaaaaaaaaaaaaaaaaaaaaaaaaaaaaaaaaaaaaaaaaaaaaaaaaaaaaaaaaaaaaaaaaaaaaaaaaaaaaaaaaaaaaaaaaaaaaaaaaaaaaaaaaaaaaaaaaaaaaaaaaaaaaaaaaaaaaaaaaaa"/>
    <w:basedOn w:val="a0"/>
    <w:rsid w:val="00D9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A6AA-61FD-44B8-8F86-2C9E657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Tatiana</cp:lastModifiedBy>
  <cp:revision>4</cp:revision>
  <dcterms:created xsi:type="dcterms:W3CDTF">2022-05-05T15:16:00Z</dcterms:created>
  <dcterms:modified xsi:type="dcterms:W3CDTF">2022-05-06T18:18:00Z</dcterms:modified>
</cp:coreProperties>
</file>