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AD4" w:rsidRPr="00802B0C" w:rsidRDefault="00865AD4" w:rsidP="00865AD4">
      <w:pPr>
        <w:tabs>
          <w:tab w:val="left" w:pos="2460"/>
        </w:tabs>
        <w:ind w:left="482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5AD4" w:rsidRPr="00802B0C" w:rsidRDefault="00865AD4" w:rsidP="00865AD4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802B0C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Аудиторська палата України</w:t>
      </w:r>
    </w:p>
    <w:p w:rsidR="00865AD4" w:rsidRPr="00802B0C" w:rsidRDefault="00865AD4" w:rsidP="00865AD4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02B0C">
        <w:rPr>
          <w:rFonts w:ascii="Times New Roman" w:eastAsia="Times New Roman" w:hAnsi="Times New Roman" w:cs="Times New Roman"/>
          <w:sz w:val="40"/>
          <w:szCs w:val="40"/>
          <w:lang w:eastAsia="ru-RU"/>
        </w:rPr>
        <w:t>орган аудиторського самоврядування</w:t>
      </w:r>
    </w:p>
    <w:p w:rsidR="00865AD4" w:rsidRPr="00802B0C" w:rsidRDefault="00865AD4" w:rsidP="00865AD4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65AD4" w:rsidRPr="00802B0C" w:rsidRDefault="00865AD4" w:rsidP="00865AD4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802B0C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З’їзд АУДИТОРІВ України</w:t>
      </w:r>
    </w:p>
    <w:p w:rsidR="00865AD4" w:rsidRPr="00802B0C" w:rsidRDefault="00865AD4" w:rsidP="00865AD4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6"/>
      </w:tblGrid>
      <w:tr w:rsidR="00865AD4" w:rsidRPr="00802B0C" w:rsidTr="003F16D9">
        <w:trPr>
          <w:trHeight w:val="134"/>
        </w:trPr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D4" w:rsidRPr="00802B0C" w:rsidRDefault="00865AD4" w:rsidP="003F16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</w:tbl>
    <w:p w:rsidR="00865AD4" w:rsidRPr="00802B0C" w:rsidRDefault="00865AD4" w:rsidP="00865AD4">
      <w:pPr>
        <w:keepNext/>
        <w:overflowPunct w:val="0"/>
        <w:autoSpaceDE w:val="0"/>
        <w:autoSpaceDN w:val="0"/>
        <w:adjustRightInd w:val="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65AD4" w:rsidRPr="00802B0C" w:rsidRDefault="00865AD4" w:rsidP="00865AD4">
      <w:pPr>
        <w:keepNext/>
        <w:overflowPunct w:val="0"/>
        <w:autoSpaceDE w:val="0"/>
        <w:autoSpaceDN w:val="0"/>
        <w:adjustRightInd w:val="0"/>
        <w:jc w:val="center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2B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802B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802B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</w:t>
      </w:r>
    </w:p>
    <w:p w:rsidR="00865AD4" w:rsidRPr="00802B0C" w:rsidRDefault="00865AD4" w:rsidP="00865AD4">
      <w:pPr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AD4" w:rsidRPr="00802B0C" w:rsidRDefault="00AF04D8" w:rsidP="00865AD4">
      <w:pPr>
        <w:overflowPunct w:val="0"/>
        <w:autoSpaceDE w:val="0"/>
        <w:autoSpaceDN w:val="0"/>
        <w:adjustRightInd w:val="0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травня 2019 року</w:t>
      </w:r>
      <w:r w:rsidR="00865AD4" w:rsidRPr="0080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№</w:t>
      </w:r>
      <w:r w:rsidR="0086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1/18</w:t>
      </w:r>
    </w:p>
    <w:p w:rsidR="00865AD4" w:rsidRPr="00802B0C" w:rsidRDefault="00865AD4" w:rsidP="00865AD4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B0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</w:t>
      </w:r>
    </w:p>
    <w:p w:rsidR="00865AD4" w:rsidRPr="00802B0C" w:rsidRDefault="00865AD4" w:rsidP="00865AD4">
      <w:pPr>
        <w:overflowPunct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2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2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2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2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2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2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5AD4" w:rsidRPr="00802B0C" w:rsidRDefault="00865AD4" w:rsidP="00865AD4">
      <w:pPr>
        <w:tabs>
          <w:tab w:val="left" w:pos="709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2B0C">
        <w:rPr>
          <w:rFonts w:ascii="Times New Roman" w:eastAsia="Calibri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винагороду Голови </w:t>
      </w:r>
      <w:r w:rsidR="00313289">
        <w:rPr>
          <w:rFonts w:ascii="Times New Roman" w:eastAsia="Times New Roman" w:hAnsi="Times New Roman" w:cs="Times New Roman"/>
          <w:b/>
          <w:sz w:val="28"/>
          <w:szCs w:val="28"/>
        </w:rPr>
        <w:t>Аудиторської палати України за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виконання повноважень</w:t>
      </w:r>
    </w:p>
    <w:p w:rsidR="00865AD4" w:rsidRPr="00802B0C" w:rsidRDefault="00865AD4" w:rsidP="00865AD4">
      <w:p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5AD4" w:rsidRPr="00802B0C" w:rsidRDefault="00865AD4" w:rsidP="00865AD4">
      <w:pPr>
        <w:spacing w:after="12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B0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Законом України «Про аудит фінансової звітно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сті та аудиторську діяльність» та</w:t>
      </w:r>
      <w:r w:rsidR="00AF04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</w:t>
      </w:r>
      <w:r w:rsidRPr="0080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скликання та проведення з’їзду аудиторів України, затвердженого рішенням установчого з’їзду аудиторів України від 14 липня 2018 р</w:t>
      </w:r>
      <w:r w:rsidR="00AF04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Pr="0080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з’їзд аудиторів України </w:t>
      </w:r>
    </w:p>
    <w:p w:rsidR="003E5B68" w:rsidRDefault="003E5B68" w:rsidP="00865AD4">
      <w:pPr>
        <w:spacing w:after="120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65AD4" w:rsidRPr="003E5B68" w:rsidRDefault="00865AD4" w:rsidP="00865AD4">
      <w:pPr>
        <w:spacing w:after="12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:rsidR="00865AD4" w:rsidRPr="00802B0C" w:rsidRDefault="00865AD4" w:rsidP="00865AD4">
      <w:pPr>
        <w:tabs>
          <w:tab w:val="left" w:pos="426"/>
        </w:tabs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65AD4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становити Голові Аудиторської палати України </w:t>
      </w:r>
      <w:r w:rsidRPr="00865AD4">
        <w:rPr>
          <w:rFonts w:ascii="Times New Roman" w:eastAsia="Times New Roman" w:hAnsi="Times New Roman" w:cs="Times New Roman"/>
          <w:sz w:val="28"/>
          <w:szCs w:val="28"/>
        </w:rPr>
        <w:t>винагороду за виконання повноважень у розмірі 10 мінімальних заробітних плат у місяць.</w:t>
      </w:r>
    </w:p>
    <w:p w:rsidR="00865AD4" w:rsidRDefault="00865AD4" w:rsidP="00865AD4">
      <w:pPr>
        <w:tabs>
          <w:tab w:val="left" w:pos="426"/>
        </w:tabs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65AD4" w:rsidRPr="00802B0C" w:rsidRDefault="00865AD4" w:rsidP="00865AD4">
      <w:pPr>
        <w:tabs>
          <w:tab w:val="left" w:pos="426"/>
        </w:tabs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356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4329"/>
      </w:tblGrid>
      <w:tr w:rsidR="00865AD4" w:rsidRPr="00802B0C" w:rsidTr="003F16D9">
        <w:tc>
          <w:tcPr>
            <w:tcW w:w="5027" w:type="dxa"/>
          </w:tcPr>
          <w:p w:rsidR="00865AD4" w:rsidRPr="00802B0C" w:rsidRDefault="00865AD4" w:rsidP="003F16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2B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Голова з’їзду</w:t>
            </w:r>
          </w:p>
          <w:p w:rsidR="00865AD4" w:rsidRPr="00802B0C" w:rsidRDefault="00865AD4" w:rsidP="003F16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B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329" w:type="dxa"/>
          </w:tcPr>
          <w:p w:rsidR="00865AD4" w:rsidRPr="00802B0C" w:rsidRDefault="00865AD4" w:rsidP="003F16D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2B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Т.О</w:t>
            </w:r>
            <w:proofErr w:type="spellEnd"/>
            <w:r w:rsidRPr="00802B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Каменська</w:t>
            </w:r>
          </w:p>
        </w:tc>
      </w:tr>
    </w:tbl>
    <w:p w:rsidR="00865AD4" w:rsidRPr="00802B0C" w:rsidRDefault="00865AD4" w:rsidP="00865AD4">
      <w:pPr>
        <w:tabs>
          <w:tab w:val="left" w:pos="426"/>
        </w:tabs>
        <w:spacing w:after="200" w:line="276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65AD4" w:rsidRPr="00802B0C" w:rsidRDefault="00865AD4" w:rsidP="00865AD4">
      <w:pPr>
        <w:tabs>
          <w:tab w:val="left" w:pos="426"/>
        </w:tabs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5AD4" w:rsidRPr="00802B0C" w:rsidRDefault="00865AD4" w:rsidP="00865AD4">
      <w:pPr>
        <w:tabs>
          <w:tab w:val="left" w:pos="426"/>
        </w:tabs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5AD4" w:rsidRPr="00802B0C" w:rsidRDefault="00865AD4" w:rsidP="00865AD4">
      <w:pPr>
        <w:tabs>
          <w:tab w:val="left" w:pos="426"/>
        </w:tabs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5AD4" w:rsidRPr="00802B0C" w:rsidRDefault="00865AD4" w:rsidP="00865AD4">
      <w:pPr>
        <w:tabs>
          <w:tab w:val="left" w:pos="426"/>
        </w:tabs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5AD4" w:rsidRPr="00802B0C" w:rsidRDefault="00865AD4" w:rsidP="00865AD4">
      <w:pPr>
        <w:tabs>
          <w:tab w:val="left" w:pos="426"/>
        </w:tabs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5AD4" w:rsidRPr="00802B0C" w:rsidRDefault="00865AD4" w:rsidP="00865AD4">
      <w:pPr>
        <w:tabs>
          <w:tab w:val="left" w:pos="426"/>
        </w:tabs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5AD4" w:rsidRDefault="00865AD4" w:rsidP="00865AD4">
      <w:pPr>
        <w:tabs>
          <w:tab w:val="left" w:pos="426"/>
        </w:tabs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5AD4" w:rsidRPr="00802B0C" w:rsidRDefault="00865AD4" w:rsidP="00865AD4">
      <w:pPr>
        <w:spacing w:after="120"/>
        <w:jc w:val="center"/>
        <w:rPr>
          <w:rFonts w:ascii="Baskerville Old Face" w:eastAsia="Times New Roman" w:hAnsi="Baskerville Old Face" w:cs="Courier New"/>
          <w:b/>
          <w:sz w:val="32"/>
          <w:szCs w:val="32"/>
          <w:lang w:eastAsia="ru-RU"/>
        </w:rPr>
      </w:pPr>
    </w:p>
    <w:p w:rsidR="00865AD4" w:rsidRDefault="00865AD4" w:rsidP="00865AD4"/>
    <w:p w:rsidR="00C7697E" w:rsidRDefault="00C7697E"/>
    <w:sectPr w:rsidR="00C7697E" w:rsidSect="0011748B">
      <w:footerReference w:type="default" r:id="rId6"/>
      <w:pgSz w:w="11906" w:h="16838" w:code="9"/>
      <w:pgMar w:top="567" w:right="707" w:bottom="851" w:left="1134" w:header="709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AE0" w:rsidRDefault="00944AE0">
      <w:r>
        <w:separator/>
      </w:r>
    </w:p>
  </w:endnote>
  <w:endnote w:type="continuationSeparator" w:id="0">
    <w:p w:rsidR="00944AE0" w:rsidRDefault="0094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E94" w:rsidRDefault="00944AE0">
    <w:pPr>
      <w:pStyle w:val="a3"/>
      <w:jc w:val="right"/>
    </w:pPr>
  </w:p>
  <w:p w:rsidR="00003E94" w:rsidRDefault="00944A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AE0" w:rsidRDefault="00944AE0">
      <w:r>
        <w:separator/>
      </w:r>
    </w:p>
  </w:footnote>
  <w:footnote w:type="continuationSeparator" w:id="0">
    <w:p w:rsidR="00944AE0" w:rsidRDefault="00944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D4"/>
    <w:rsid w:val="00313289"/>
    <w:rsid w:val="003E5931"/>
    <w:rsid w:val="003E5B68"/>
    <w:rsid w:val="005C1318"/>
    <w:rsid w:val="00865AD4"/>
    <w:rsid w:val="00944AE0"/>
    <w:rsid w:val="00AF04D8"/>
    <w:rsid w:val="00C04A9B"/>
    <w:rsid w:val="00C7697E"/>
    <w:rsid w:val="00FC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01A27-49FE-4E4E-941F-C337EE51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AD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65A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65AD4"/>
    <w:rPr>
      <w:lang w:val="uk-UA"/>
    </w:rPr>
  </w:style>
  <w:style w:type="table" w:customStyle="1" w:styleId="1">
    <w:name w:val="Сетка таблицы1"/>
    <w:basedOn w:val="a1"/>
    <w:next w:val="a5"/>
    <w:uiPriority w:val="59"/>
    <w:rsid w:val="00865AD4"/>
    <w:pPr>
      <w:jc w:val="left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65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5B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5B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Аудиторська палата України</vt:lpstr>
      <vt:lpstr>орган аудиторського самоврядування</vt:lpstr>
      <vt:lpstr/>
      <vt:lpstr>З’їзд АУДИТОРІВ України</vt:lpstr>
      <vt:lpstr/>
    </vt:vector>
  </TitlesOfParts>
  <Company>diakov.net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2019-05-22T12:48:00Z</cp:lastPrinted>
  <dcterms:created xsi:type="dcterms:W3CDTF">2019-05-22T11:09:00Z</dcterms:created>
  <dcterms:modified xsi:type="dcterms:W3CDTF">2019-05-28T14:22:00Z</dcterms:modified>
</cp:coreProperties>
</file>